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F1064D" w:rsidRDefault="00A84714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Bradford, Steven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Hill, Jerry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Leyva, Connie M.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064D" w:rsidRDefault="00A84714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APPROPRIATIONS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064D" w:rsidRDefault="00A84714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ANTHONY PORTANTINO </w:t>
            </w:r>
            <w:r>
              <w:fldChar w:fldCharType="end"/>
            </w:r>
          </w:p>
          <w:p w:rsidR="00F1064D" w:rsidRDefault="00A84714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F1064D" w:rsidRDefault="00A84714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Mark McKenzie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Ashley Ames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Lenin Del Castillo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Robert Ingenito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Samantha Lui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Shaun Naidu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Janelle Miyashiro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Jennifer Douglas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Itzel Vargas</w:t>
            </w:r>
            <w:r>
              <w:br/>
            </w:r>
          </w:p>
          <w:p w:rsidR="00F1064D" w:rsidRDefault="00A84714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651-4101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F1064D" w:rsidRDefault="00A84714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Monday, June 1, 2020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2 p.m. -- John L. Burton Hearing Room (4203)</w:t>
            </w:r>
          </w:p>
          <w:p w:rsidR="00F1064D" w:rsidRDefault="00F1064D">
            <w:pPr>
              <w:jc w:val="center"/>
            </w:pPr>
          </w:p>
        </w:tc>
      </w:tr>
    </w:tbl>
    <w:p w:rsidR="00F1064D" w:rsidRDefault="00F1064D" w:rsidP="00A67CF3"/>
    <w:p w:rsidR="00CA5D51" w:rsidRDefault="00CA5D51" w:rsidP="00A67CF3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F1064D">
        <w:trPr>
          <w:cantSplit/>
          <w:tblCellSpacing w:w="20" w:type="dxa"/>
        </w:trPr>
        <w:tc>
          <w:tcPr>
            <w:tcW w:w="14360" w:type="dxa"/>
          </w:tcPr>
          <w:p w:rsidR="00F1064D" w:rsidRDefault="00A84714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TO BE HEARD IN FILE ORDER</w:t>
            </w:r>
          </w:p>
        </w:tc>
      </w:tr>
    </w:tbl>
    <w:p w:rsidR="00F1064D" w:rsidRDefault="00F1064D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224"/>
        <w:gridCol w:w="1553"/>
        <w:gridCol w:w="7690"/>
      </w:tblGrid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SB 793</w:t>
            </w:r>
          </w:p>
        </w:tc>
        <w:tc>
          <w:tcPr>
            <w:tcW w:w="1513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Hill</w:t>
            </w:r>
          </w:p>
        </w:tc>
        <w:tc>
          <w:tcPr>
            <w:tcW w:w="7630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Flavored tobacco products.</w:t>
            </w:r>
          </w:p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SB 926</w:t>
            </w:r>
          </w:p>
        </w:tc>
        <w:tc>
          <w:tcPr>
            <w:tcW w:w="1513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Hill</w:t>
            </w:r>
          </w:p>
        </w:tc>
        <w:tc>
          <w:tcPr>
            <w:tcW w:w="7630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 xml:space="preserve">Business: retail locations: cash payments. </w:t>
            </w:r>
          </w:p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SB 1159</w:t>
            </w:r>
          </w:p>
        </w:tc>
        <w:tc>
          <w:tcPr>
            <w:tcW w:w="1513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Hill</w:t>
            </w:r>
          </w:p>
        </w:tc>
        <w:tc>
          <w:tcPr>
            <w:tcW w:w="7630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Workers’ compensation: COVID-19: critical workers.</w:t>
            </w:r>
          </w:p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/>
        </w:tc>
        <w:tc>
          <w:tcPr>
            <w:tcW w:w="1513" w:type="dxa"/>
          </w:tcPr>
          <w:p w:rsidR="00510145" w:rsidRDefault="00510145"/>
        </w:tc>
        <w:tc>
          <w:tcPr>
            <w:tcW w:w="7630" w:type="dxa"/>
          </w:tcPr>
          <w:p w:rsidR="00510145" w:rsidRDefault="00510145"/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SB 801</w:t>
            </w:r>
          </w:p>
        </w:tc>
        <w:tc>
          <w:tcPr>
            <w:tcW w:w="1513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Glazer</w:t>
            </w:r>
          </w:p>
        </w:tc>
        <w:tc>
          <w:tcPr>
            <w:tcW w:w="7630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Electrical corporations: wildfire mitigation plans: deenergization: public safety protocol.</w:t>
            </w:r>
          </w:p>
        </w:tc>
      </w:tr>
      <w:tr w:rsidR="00A2058A" w:rsidTr="00A84714">
        <w:trPr>
          <w:cantSplit/>
          <w:tblCellSpacing w:w="20" w:type="dxa"/>
        </w:trPr>
        <w:tc>
          <w:tcPr>
            <w:tcW w:w="1164" w:type="dxa"/>
          </w:tcPr>
          <w:p w:rsidR="00A2058A" w:rsidRDefault="00A2058A" w:rsidP="00A2058A">
            <w:r>
              <w:rPr>
                <w:rFonts w:ascii="Arial" w:hAnsi="Arial"/>
                <w:color w:val="000000"/>
              </w:rPr>
              <w:t>SB 1474</w:t>
            </w:r>
          </w:p>
        </w:tc>
        <w:tc>
          <w:tcPr>
            <w:tcW w:w="1513" w:type="dxa"/>
          </w:tcPr>
          <w:p w:rsidR="00A2058A" w:rsidRDefault="00A2058A" w:rsidP="00A2058A">
            <w:r>
              <w:rPr>
                <w:rFonts w:ascii="Arial" w:hAnsi="Arial"/>
                <w:color w:val="000000"/>
              </w:rPr>
              <w:t>Business &amp; Professions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7630" w:type="dxa"/>
          </w:tcPr>
          <w:p w:rsidR="00A2058A" w:rsidRDefault="00A2058A" w:rsidP="00A2058A">
            <w:r>
              <w:rPr>
                <w:rFonts w:ascii="Arial" w:hAnsi="Arial"/>
                <w:color w:val="000000"/>
              </w:rPr>
              <w:t>Business and professions.</w:t>
            </w:r>
          </w:p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/>
        </w:tc>
        <w:tc>
          <w:tcPr>
            <w:tcW w:w="1513" w:type="dxa"/>
          </w:tcPr>
          <w:p w:rsidR="00510145" w:rsidRDefault="00510145"/>
        </w:tc>
        <w:tc>
          <w:tcPr>
            <w:tcW w:w="7630" w:type="dxa"/>
          </w:tcPr>
          <w:p w:rsidR="00510145" w:rsidRDefault="00510145"/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SB 803</w:t>
            </w:r>
          </w:p>
        </w:tc>
        <w:tc>
          <w:tcPr>
            <w:tcW w:w="1513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Beall</w:t>
            </w:r>
          </w:p>
        </w:tc>
        <w:tc>
          <w:tcPr>
            <w:tcW w:w="7630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Mental health services: peer support specialist certification.</w:t>
            </w:r>
          </w:p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/>
        </w:tc>
        <w:tc>
          <w:tcPr>
            <w:tcW w:w="1513" w:type="dxa"/>
          </w:tcPr>
          <w:p w:rsidR="00510145" w:rsidRDefault="00510145"/>
        </w:tc>
        <w:tc>
          <w:tcPr>
            <w:tcW w:w="7630" w:type="dxa"/>
          </w:tcPr>
          <w:p w:rsidR="00510145" w:rsidRDefault="00510145"/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SB 805</w:t>
            </w:r>
          </w:p>
        </w:tc>
        <w:tc>
          <w:tcPr>
            <w:tcW w:w="1513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7630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School employees: leaves of absence: emergencies and mandatory evacuation orders.</w:t>
            </w:r>
          </w:p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SB 914</w:t>
            </w:r>
          </w:p>
        </w:tc>
        <w:tc>
          <w:tcPr>
            <w:tcW w:w="1513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7630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Firearms.</w:t>
            </w:r>
          </w:p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/>
        </w:tc>
        <w:tc>
          <w:tcPr>
            <w:tcW w:w="1513" w:type="dxa"/>
          </w:tcPr>
          <w:p w:rsidR="00510145" w:rsidRDefault="00510145"/>
        </w:tc>
        <w:tc>
          <w:tcPr>
            <w:tcW w:w="7630" w:type="dxa"/>
          </w:tcPr>
          <w:p w:rsidR="00510145" w:rsidRDefault="00510145"/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SB 855</w:t>
            </w:r>
          </w:p>
        </w:tc>
        <w:tc>
          <w:tcPr>
            <w:tcW w:w="1513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630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Health coverage: mental health or substance abuse disorders.</w:t>
            </w:r>
          </w:p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/>
        </w:tc>
        <w:tc>
          <w:tcPr>
            <w:tcW w:w="1513" w:type="dxa"/>
          </w:tcPr>
          <w:p w:rsidR="00510145" w:rsidRDefault="00510145"/>
        </w:tc>
        <w:tc>
          <w:tcPr>
            <w:tcW w:w="7630" w:type="dxa"/>
          </w:tcPr>
          <w:p w:rsidR="00510145" w:rsidRDefault="00510145"/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SB 862</w:t>
            </w:r>
          </w:p>
        </w:tc>
        <w:tc>
          <w:tcPr>
            <w:tcW w:w="1513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7630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Planned power outage: public safety.</w:t>
            </w:r>
          </w:p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SB 884</w:t>
            </w:r>
          </w:p>
        </w:tc>
        <w:tc>
          <w:tcPr>
            <w:tcW w:w="1513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7630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Education finance: emergencies: public safety power shutoffs.</w:t>
            </w:r>
          </w:p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SB 1237</w:t>
            </w:r>
          </w:p>
        </w:tc>
        <w:tc>
          <w:tcPr>
            <w:tcW w:w="1513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7630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Nurse-midwives: scope of practice.</w:t>
            </w:r>
          </w:p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/>
        </w:tc>
        <w:tc>
          <w:tcPr>
            <w:tcW w:w="1513" w:type="dxa"/>
          </w:tcPr>
          <w:p w:rsidR="00510145" w:rsidRDefault="00510145"/>
        </w:tc>
        <w:tc>
          <w:tcPr>
            <w:tcW w:w="7630" w:type="dxa"/>
          </w:tcPr>
          <w:p w:rsidR="00510145" w:rsidRDefault="00510145"/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SB 878</w:t>
            </w:r>
          </w:p>
        </w:tc>
        <w:tc>
          <w:tcPr>
            <w:tcW w:w="1513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Jones</w:t>
            </w:r>
          </w:p>
        </w:tc>
        <w:tc>
          <w:tcPr>
            <w:tcW w:w="7630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Department of Consumer Affairs Licensing: applications: wait times.</w:t>
            </w:r>
          </w:p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/>
        </w:tc>
        <w:tc>
          <w:tcPr>
            <w:tcW w:w="1513" w:type="dxa"/>
          </w:tcPr>
          <w:p w:rsidR="00510145" w:rsidRDefault="00510145"/>
        </w:tc>
        <w:tc>
          <w:tcPr>
            <w:tcW w:w="7630" w:type="dxa"/>
          </w:tcPr>
          <w:p w:rsidR="00510145" w:rsidRDefault="00510145"/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SB 934</w:t>
            </w:r>
          </w:p>
        </w:tc>
        <w:tc>
          <w:tcPr>
            <w:tcW w:w="1513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Bates</w:t>
            </w:r>
          </w:p>
        </w:tc>
        <w:tc>
          <w:tcPr>
            <w:tcW w:w="7630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Corporate taxes: exempt organizations: filing fees.</w:t>
            </w:r>
          </w:p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/>
        </w:tc>
        <w:tc>
          <w:tcPr>
            <w:tcW w:w="1513" w:type="dxa"/>
          </w:tcPr>
          <w:p w:rsidR="00510145" w:rsidRDefault="00510145"/>
        </w:tc>
        <w:tc>
          <w:tcPr>
            <w:tcW w:w="7630" w:type="dxa"/>
          </w:tcPr>
          <w:p w:rsidR="00510145" w:rsidRDefault="00510145"/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SB 943</w:t>
            </w:r>
          </w:p>
        </w:tc>
        <w:tc>
          <w:tcPr>
            <w:tcW w:w="1513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Chang</w:t>
            </w:r>
          </w:p>
        </w:tc>
        <w:tc>
          <w:tcPr>
            <w:tcW w:w="7630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Paid family leave: COVID-19.(Urgency)</w:t>
            </w:r>
          </w:p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/>
        </w:tc>
        <w:tc>
          <w:tcPr>
            <w:tcW w:w="1513" w:type="dxa"/>
          </w:tcPr>
          <w:p w:rsidR="00510145" w:rsidRDefault="00510145"/>
        </w:tc>
        <w:tc>
          <w:tcPr>
            <w:tcW w:w="7630" w:type="dxa"/>
          </w:tcPr>
          <w:p w:rsidR="00510145" w:rsidRDefault="00510145"/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SB 956</w:t>
            </w:r>
          </w:p>
        </w:tc>
        <w:tc>
          <w:tcPr>
            <w:tcW w:w="1513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Jackson</w:t>
            </w:r>
          </w:p>
        </w:tc>
        <w:tc>
          <w:tcPr>
            <w:tcW w:w="7630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Taxation: tax expenditures: California Tax Expenditure Review Board.</w:t>
            </w:r>
          </w:p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SB 973</w:t>
            </w:r>
          </w:p>
        </w:tc>
        <w:tc>
          <w:tcPr>
            <w:tcW w:w="1513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Jackson</w:t>
            </w:r>
          </w:p>
        </w:tc>
        <w:tc>
          <w:tcPr>
            <w:tcW w:w="7630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Employers: annual report: pay data.</w:t>
            </w:r>
          </w:p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SB 1383</w:t>
            </w:r>
          </w:p>
        </w:tc>
        <w:tc>
          <w:tcPr>
            <w:tcW w:w="1513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Jackson</w:t>
            </w:r>
          </w:p>
        </w:tc>
        <w:tc>
          <w:tcPr>
            <w:tcW w:w="7630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Employees: time off.</w:t>
            </w:r>
          </w:p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lastRenderedPageBreak/>
              <w:t>SB 977</w:t>
            </w:r>
          </w:p>
        </w:tc>
        <w:tc>
          <w:tcPr>
            <w:tcW w:w="1513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Monning</w:t>
            </w:r>
          </w:p>
        </w:tc>
        <w:tc>
          <w:tcPr>
            <w:tcW w:w="7630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Health care system consolidation: Attorney General approval and enforcement.</w:t>
            </w:r>
          </w:p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/>
        </w:tc>
        <w:tc>
          <w:tcPr>
            <w:tcW w:w="1513" w:type="dxa"/>
          </w:tcPr>
          <w:p w:rsidR="00510145" w:rsidRDefault="00510145"/>
        </w:tc>
        <w:tc>
          <w:tcPr>
            <w:tcW w:w="7630" w:type="dxa"/>
          </w:tcPr>
          <w:p w:rsidR="00510145" w:rsidRDefault="00510145"/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SB 1012</w:t>
            </w:r>
          </w:p>
        </w:tc>
        <w:tc>
          <w:tcPr>
            <w:tcW w:w="1513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7630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Oil and gas wells: hazardous or idle-deserted wells and facilities.</w:t>
            </w:r>
          </w:p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SB 1103</w:t>
            </w:r>
          </w:p>
        </w:tc>
        <w:tc>
          <w:tcPr>
            <w:tcW w:w="1513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7630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Workforce training programs: supportive services.</w:t>
            </w:r>
          </w:p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SB 1110</w:t>
            </w:r>
          </w:p>
        </w:tc>
        <w:tc>
          <w:tcPr>
            <w:tcW w:w="1513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7630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Health care workforce development: California Medicine Scholars Program.</w:t>
            </w:r>
          </w:p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/>
        </w:tc>
        <w:tc>
          <w:tcPr>
            <w:tcW w:w="1513" w:type="dxa"/>
          </w:tcPr>
          <w:p w:rsidR="00510145" w:rsidRDefault="00510145"/>
        </w:tc>
        <w:tc>
          <w:tcPr>
            <w:tcW w:w="7630" w:type="dxa"/>
          </w:tcPr>
          <w:p w:rsidR="00510145" w:rsidRDefault="00510145"/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SB 1064</w:t>
            </w:r>
          </w:p>
        </w:tc>
        <w:tc>
          <w:tcPr>
            <w:tcW w:w="1513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7630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Prisons: confidential informants.</w:t>
            </w:r>
          </w:p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/>
        </w:tc>
        <w:tc>
          <w:tcPr>
            <w:tcW w:w="1513" w:type="dxa"/>
          </w:tcPr>
          <w:p w:rsidR="00510145" w:rsidRDefault="00510145"/>
        </w:tc>
        <w:tc>
          <w:tcPr>
            <w:tcW w:w="7630" w:type="dxa"/>
          </w:tcPr>
          <w:p w:rsidR="00510145" w:rsidRDefault="00510145"/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SB 1111</w:t>
            </w:r>
          </w:p>
        </w:tc>
        <w:tc>
          <w:tcPr>
            <w:tcW w:w="1513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Durazo</w:t>
            </w:r>
          </w:p>
        </w:tc>
        <w:tc>
          <w:tcPr>
            <w:tcW w:w="7630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Juveniles: detention facilities.</w:t>
            </w:r>
          </w:p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SB 1222</w:t>
            </w:r>
          </w:p>
        </w:tc>
        <w:tc>
          <w:tcPr>
            <w:tcW w:w="1513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Durazo</w:t>
            </w:r>
          </w:p>
        </w:tc>
        <w:tc>
          <w:tcPr>
            <w:tcW w:w="7630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Detention facilities: contracts.</w:t>
            </w:r>
          </w:p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/>
        </w:tc>
        <w:tc>
          <w:tcPr>
            <w:tcW w:w="1513" w:type="dxa"/>
          </w:tcPr>
          <w:p w:rsidR="00510145" w:rsidRDefault="00510145"/>
        </w:tc>
        <w:tc>
          <w:tcPr>
            <w:tcW w:w="7630" w:type="dxa"/>
          </w:tcPr>
          <w:p w:rsidR="00510145" w:rsidRDefault="00510145"/>
        </w:tc>
      </w:tr>
      <w:tr w:rsidR="00D97C53" w:rsidTr="00A84714">
        <w:trPr>
          <w:cantSplit/>
          <w:tblCellSpacing w:w="20" w:type="dxa"/>
        </w:trPr>
        <w:tc>
          <w:tcPr>
            <w:tcW w:w="1164" w:type="dxa"/>
          </w:tcPr>
          <w:p w:rsidR="00D97C53" w:rsidRDefault="00D97C53" w:rsidP="00D97C53">
            <w:r>
              <w:rPr>
                <w:rFonts w:ascii="Arial" w:hAnsi="Arial"/>
                <w:color w:val="000000"/>
              </w:rPr>
              <w:t>SB 1115</w:t>
            </w:r>
          </w:p>
        </w:tc>
        <w:tc>
          <w:tcPr>
            <w:tcW w:w="1513" w:type="dxa"/>
          </w:tcPr>
          <w:p w:rsidR="00D97C53" w:rsidRDefault="00D97C53" w:rsidP="00D97C53">
            <w:r>
              <w:rPr>
                <w:rFonts w:ascii="Arial" w:hAnsi="Arial"/>
                <w:color w:val="000000"/>
              </w:rPr>
              <w:t>Wilk</w:t>
            </w:r>
          </w:p>
        </w:tc>
        <w:tc>
          <w:tcPr>
            <w:tcW w:w="7630" w:type="dxa"/>
          </w:tcPr>
          <w:p w:rsidR="00D97C53" w:rsidRDefault="00D97C53" w:rsidP="00D97C53">
            <w:r>
              <w:rPr>
                <w:rFonts w:ascii="Arial" w:hAnsi="Arial"/>
                <w:color w:val="000000"/>
              </w:rPr>
              <w:t>Commercial blood banks for animals: animal blood donors.(Urgency)</w:t>
            </w:r>
          </w:p>
        </w:tc>
      </w:tr>
      <w:tr w:rsidR="00D97C53" w:rsidTr="00A84714">
        <w:trPr>
          <w:cantSplit/>
          <w:tblCellSpacing w:w="20" w:type="dxa"/>
        </w:trPr>
        <w:tc>
          <w:tcPr>
            <w:tcW w:w="1164" w:type="dxa"/>
          </w:tcPr>
          <w:p w:rsidR="00D97C53" w:rsidRDefault="00D97C53"/>
        </w:tc>
        <w:tc>
          <w:tcPr>
            <w:tcW w:w="1513" w:type="dxa"/>
          </w:tcPr>
          <w:p w:rsidR="00D97C53" w:rsidRDefault="00D97C53"/>
        </w:tc>
        <w:tc>
          <w:tcPr>
            <w:tcW w:w="7630" w:type="dxa"/>
          </w:tcPr>
          <w:p w:rsidR="00D97C53" w:rsidRDefault="00D97C53"/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SB 1168</w:t>
            </w:r>
          </w:p>
        </w:tc>
        <w:tc>
          <w:tcPr>
            <w:tcW w:w="1513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Morrell</w:t>
            </w:r>
          </w:p>
        </w:tc>
        <w:tc>
          <w:tcPr>
            <w:tcW w:w="7630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State agencies: licensing services.</w:t>
            </w:r>
          </w:p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SB 1271</w:t>
            </w:r>
          </w:p>
        </w:tc>
        <w:tc>
          <w:tcPr>
            <w:tcW w:w="1513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Morrell</w:t>
            </w:r>
          </w:p>
        </w:tc>
        <w:tc>
          <w:tcPr>
            <w:tcW w:w="7630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Private investigator Act: licensure: limited liability companies.</w:t>
            </w:r>
          </w:p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/>
        </w:tc>
        <w:tc>
          <w:tcPr>
            <w:tcW w:w="1513" w:type="dxa"/>
          </w:tcPr>
          <w:p w:rsidR="00510145" w:rsidRDefault="00510145"/>
        </w:tc>
        <w:tc>
          <w:tcPr>
            <w:tcW w:w="7630" w:type="dxa"/>
          </w:tcPr>
          <w:p w:rsidR="00510145" w:rsidRDefault="00510145"/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SB 1189</w:t>
            </w:r>
          </w:p>
        </w:tc>
        <w:tc>
          <w:tcPr>
            <w:tcW w:w="1513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7630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Contracting business: home improvement: residential property.</w:t>
            </w:r>
          </w:p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SB 1199</w:t>
            </w:r>
          </w:p>
        </w:tc>
        <w:tc>
          <w:tcPr>
            <w:tcW w:w="1513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7630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Commission on Home Hardening.</w:t>
            </w:r>
          </w:p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/>
        </w:tc>
        <w:tc>
          <w:tcPr>
            <w:tcW w:w="1513" w:type="dxa"/>
          </w:tcPr>
          <w:p w:rsidR="00510145" w:rsidRDefault="00510145"/>
        </w:tc>
        <w:tc>
          <w:tcPr>
            <w:tcW w:w="7630" w:type="dxa"/>
          </w:tcPr>
          <w:p w:rsidR="00510145" w:rsidRDefault="00510145"/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SB 1192</w:t>
            </w:r>
          </w:p>
        </w:tc>
        <w:tc>
          <w:tcPr>
            <w:tcW w:w="1513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Bradford</w:t>
            </w:r>
          </w:p>
        </w:tc>
        <w:tc>
          <w:tcPr>
            <w:tcW w:w="7630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Firefighters’, police officers’, or peace officers’ benefit and relief associations.</w:t>
            </w:r>
          </w:p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/>
        </w:tc>
        <w:tc>
          <w:tcPr>
            <w:tcW w:w="1513" w:type="dxa"/>
          </w:tcPr>
          <w:p w:rsidR="00510145" w:rsidRDefault="00510145"/>
        </w:tc>
        <w:tc>
          <w:tcPr>
            <w:tcW w:w="7630" w:type="dxa"/>
          </w:tcPr>
          <w:p w:rsidR="00510145" w:rsidRDefault="00510145"/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SB 1213</w:t>
            </w:r>
          </w:p>
        </w:tc>
        <w:tc>
          <w:tcPr>
            <w:tcW w:w="1513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7630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Pupil instruction: history-social science academic content standards: revisions.</w:t>
            </w:r>
          </w:p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/>
        </w:tc>
        <w:tc>
          <w:tcPr>
            <w:tcW w:w="1513" w:type="dxa"/>
          </w:tcPr>
          <w:p w:rsidR="00510145" w:rsidRDefault="00510145"/>
        </w:tc>
        <w:tc>
          <w:tcPr>
            <w:tcW w:w="7630" w:type="dxa"/>
          </w:tcPr>
          <w:p w:rsidR="00510145" w:rsidRDefault="00510145"/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SB 1255</w:t>
            </w:r>
          </w:p>
        </w:tc>
        <w:tc>
          <w:tcPr>
            <w:tcW w:w="1513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Insurance</w:t>
            </w:r>
          </w:p>
        </w:tc>
        <w:tc>
          <w:tcPr>
            <w:tcW w:w="7630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Insurance.</w:t>
            </w:r>
          </w:p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/>
        </w:tc>
        <w:tc>
          <w:tcPr>
            <w:tcW w:w="1513" w:type="dxa"/>
          </w:tcPr>
          <w:p w:rsidR="00510145" w:rsidRDefault="00510145"/>
        </w:tc>
        <w:tc>
          <w:tcPr>
            <w:tcW w:w="7630" w:type="dxa"/>
          </w:tcPr>
          <w:p w:rsidR="00510145" w:rsidRDefault="00510145"/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SB 1348</w:t>
            </w:r>
          </w:p>
        </w:tc>
        <w:tc>
          <w:tcPr>
            <w:tcW w:w="1513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7630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Fire prevention: vegetation management: public education: grants: defensible space: fire hazard severity zones: forest management.</w:t>
            </w:r>
          </w:p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/>
        </w:tc>
        <w:tc>
          <w:tcPr>
            <w:tcW w:w="1513" w:type="dxa"/>
          </w:tcPr>
          <w:p w:rsidR="00510145" w:rsidRDefault="00510145"/>
        </w:tc>
        <w:tc>
          <w:tcPr>
            <w:tcW w:w="7630" w:type="dxa"/>
          </w:tcPr>
          <w:p w:rsidR="00510145" w:rsidRDefault="00510145"/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SB 1403</w:t>
            </w:r>
          </w:p>
        </w:tc>
        <w:tc>
          <w:tcPr>
            <w:tcW w:w="1513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Hueso</w:t>
            </w:r>
          </w:p>
        </w:tc>
        <w:tc>
          <w:tcPr>
            <w:tcW w:w="7630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Home weatherization for low-income customers.</w:t>
            </w:r>
          </w:p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/>
        </w:tc>
        <w:tc>
          <w:tcPr>
            <w:tcW w:w="1513" w:type="dxa"/>
          </w:tcPr>
          <w:p w:rsidR="00510145" w:rsidRDefault="00510145"/>
        </w:tc>
        <w:tc>
          <w:tcPr>
            <w:tcW w:w="7630" w:type="dxa"/>
          </w:tcPr>
          <w:p w:rsidR="00510145" w:rsidRDefault="00510145"/>
        </w:tc>
      </w:tr>
      <w:tr w:rsidR="00510145" w:rsidTr="00A84714">
        <w:trPr>
          <w:cantSplit/>
          <w:tblCellSpacing w:w="20" w:type="dxa"/>
        </w:trPr>
        <w:tc>
          <w:tcPr>
            <w:tcW w:w="1164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SB 1457</w:t>
            </w:r>
          </w:p>
        </w:tc>
        <w:tc>
          <w:tcPr>
            <w:tcW w:w="1513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Borgeas</w:t>
            </w:r>
          </w:p>
        </w:tc>
        <w:tc>
          <w:tcPr>
            <w:tcW w:w="7630" w:type="dxa"/>
          </w:tcPr>
          <w:p w:rsidR="00510145" w:rsidRDefault="00510145">
            <w:r>
              <w:rPr>
                <w:rFonts w:ascii="Arial" w:hAnsi="Arial"/>
                <w:color w:val="000000"/>
              </w:rPr>
              <w:t>State regulatory action: reduction or waiver of civil penalties.</w:t>
            </w:r>
          </w:p>
        </w:tc>
      </w:tr>
    </w:tbl>
    <w:p w:rsidR="00E768B7" w:rsidRDefault="00E768B7"/>
    <w:p w:rsidR="00887C65" w:rsidRDefault="00887C65"/>
    <w:p w:rsidR="00887C65" w:rsidRDefault="00887C65"/>
    <w:p w:rsidR="00887C65" w:rsidRDefault="00887C65"/>
    <w:p w:rsidR="00887C65" w:rsidRDefault="00887C65"/>
    <w:p w:rsidR="00887C65" w:rsidRDefault="00887C65"/>
    <w:p w:rsidR="00887C65" w:rsidRDefault="00887C65"/>
    <w:p w:rsidR="00887C65" w:rsidRDefault="00887C65"/>
    <w:p w:rsidR="00887C65" w:rsidRDefault="00887C65"/>
    <w:p w:rsidR="00887C65" w:rsidRDefault="00887C65"/>
    <w:p w:rsidR="00887C65" w:rsidRDefault="00887C65"/>
    <w:p w:rsidR="00BD2FBE" w:rsidRDefault="00BD2FBE"/>
    <w:p w:rsidR="00BD2FBE" w:rsidRDefault="00BD2FBE"/>
    <w:p w:rsidR="00BD2FBE" w:rsidRDefault="00BD2FBE"/>
    <w:p w:rsidR="00BD2FBE" w:rsidRDefault="00BD2FBE"/>
    <w:p w:rsidR="00BD2FBE" w:rsidRDefault="00BD2FBE"/>
    <w:p w:rsidR="00BD2FBE" w:rsidRDefault="00BD2FBE">
      <w:bookmarkStart w:id="0" w:name="_GoBack"/>
      <w:bookmarkEnd w:id="0"/>
    </w:p>
    <w:p w:rsidR="00003129" w:rsidRDefault="00003129"/>
    <w:p w:rsidR="00510145" w:rsidRDefault="00334EAE">
      <w:r>
        <w:t>(A=0</w:t>
      </w:r>
      <w:r w:rsidR="00510145">
        <w:t>, S=</w:t>
      </w:r>
      <w:r w:rsidR="00003129">
        <w:t>36</w:t>
      </w:r>
      <w:r w:rsidR="00A84714">
        <w:t>)</w:t>
      </w:r>
    </w:p>
    <w:sectPr w:rsidR="00510145" w:rsidSect="00495F3B">
      <w:footerReference w:type="default" r:id="rId8"/>
      <w:pgSz w:w="11907" w:h="16839" w:code="9"/>
      <w:pgMar w:top="576" w:right="720" w:bottom="576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8C0" w:rsidRDefault="00A84714">
      <w:r>
        <w:separator/>
      </w:r>
    </w:p>
  </w:endnote>
  <w:endnote w:type="continuationSeparator" w:id="0">
    <w:p w:rsidR="00F568C0" w:rsidRDefault="00A8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398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5F3B" w:rsidRDefault="00495F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F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5F3B" w:rsidRDefault="00495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8C0" w:rsidRDefault="00A84714">
      <w:r>
        <w:separator/>
      </w:r>
    </w:p>
  </w:footnote>
  <w:footnote w:type="continuationSeparator" w:id="0">
    <w:p w:rsidR="00F568C0" w:rsidRDefault="00A84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03129"/>
    <w:rsid w:val="00015920"/>
    <w:rsid w:val="00334EAE"/>
    <w:rsid w:val="00495F3B"/>
    <w:rsid w:val="00510145"/>
    <w:rsid w:val="00887C65"/>
    <w:rsid w:val="00A2058A"/>
    <w:rsid w:val="00A67CF3"/>
    <w:rsid w:val="00A84714"/>
    <w:rsid w:val="00BD2FBE"/>
    <w:rsid w:val="00C51048"/>
    <w:rsid w:val="00CA5D51"/>
    <w:rsid w:val="00D97C53"/>
    <w:rsid w:val="00E768B7"/>
    <w:rsid w:val="00F1064D"/>
    <w:rsid w:val="00F5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D4CD"/>
  <w15:docId w15:val="{76BA2972-3327-4437-BCDA-3A1A197B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  <w:style w:type="paragraph" w:styleId="Header">
    <w:name w:val="header"/>
    <w:basedOn w:val="Normal"/>
    <w:link w:val="HeaderChar"/>
    <w:uiPriority w:val="99"/>
    <w:unhideWhenUsed/>
    <w:rsid w:val="00495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F3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95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F3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Douglas, Jennifer</cp:lastModifiedBy>
  <cp:revision>12</cp:revision>
  <dcterms:created xsi:type="dcterms:W3CDTF">2020-05-28T00:06:00Z</dcterms:created>
  <dcterms:modified xsi:type="dcterms:W3CDTF">2020-05-29T01:17:00Z</dcterms:modified>
</cp:coreProperties>
</file>