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63378C" w:rsidRDefault="0015531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78C" w:rsidRDefault="0015531F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78C" w:rsidRDefault="0015531F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63378C" w:rsidRDefault="0015531F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63378C" w:rsidRDefault="0015531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63378C" w:rsidRDefault="0015531F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63378C" w:rsidRDefault="0015531F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April 29,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63378C" w:rsidRDefault="0063378C">
            <w:pPr>
              <w:jc w:val="center"/>
            </w:pPr>
          </w:p>
        </w:tc>
      </w:tr>
    </w:tbl>
    <w:p w:rsidR="0063378C" w:rsidRDefault="0063378C" w:rsidP="00720884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63378C">
        <w:trPr>
          <w:cantSplit/>
          <w:tblCellSpacing w:w="20" w:type="dxa"/>
        </w:trPr>
        <w:tc>
          <w:tcPr>
            <w:tcW w:w="14360" w:type="dxa"/>
          </w:tcPr>
          <w:p w:rsidR="0063378C" w:rsidRDefault="0015531F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63378C" w:rsidRDefault="0063378C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87"/>
        <w:gridCol w:w="1693"/>
        <w:gridCol w:w="7560"/>
      </w:tblGrid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Statewide Longitudinal Student Database.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14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Education finance: Higher Education Facilities Bond Act of 2020.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Affordable Housing and Community Development Investment Program.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6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Residential development: available land.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9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Income taxes: low-income housing credits: allocation: sale of credits.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150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Student financial aid: Chafee grant awards.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460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Vehicles: biennial registration.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582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Youth mental health and substance use disorder services.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State Highway Route 710.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217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Special education: individuals with exceptional needs.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445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Alcohol and drug treatment: youth.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729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Local control funding formula: school districts and charter schools.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The Getting Home Safe Act.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65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Health care coverage: financial assistance.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428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Pupil health: school employee training: youth mental health first aid.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612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Health care: data reporting.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660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Postsecondary education: mental health counselors.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162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Galgiani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California Alternative Energy and Advanced Transportation Financing Authority: sales and use taxes: exclusions.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185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Cannabis: marketing.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499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School meals: California-Grown for Healthy Kids Program.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207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Medi-Cal: asthma preventive services.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  <w:p w:rsidR="00490C48" w:rsidRDefault="00490C48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lastRenderedPageBreak/>
              <w:t>SB 265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Pupil meals: Child Hunger Prevention and Fair Treatment Act of 2017.(Urgency)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389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Mental Health Services Act.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296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Student financial aid: immigrants seeking asylum.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392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Hazardous materials: green chemistry: consumer products.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686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California Promise Neighborhoods Act of 2019.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309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Personal income tax: California Senior Citizen Advocacy Voluntary Tax Contribution Fund.(Urgency)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777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Community colleges: full-time instruction.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317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Hazardous waste: waste facilities: prohibited chemicals.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325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Substance abuse recovery or treatment providers.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537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Workers’ compensation: treatment and disability.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545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Driving under the influence: ignition interlock devices.(Urgency)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361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Medi-Cal: Health Home Program.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464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California Dignity in Pregnancy and Childbirth Act.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365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CalWORKs: immediate needs assistance.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426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California State University, Dominguez Hills: Dymally Fellows Project.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455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Financial Empowerment Fund: unbanked and underbanked populations.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575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 Grants: student eligibility.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595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Cannabis: local equity programs: state fee waivers.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471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Subpoenas: form and service.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500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Morrell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Veterans: education.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541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School safety: lockdown drills.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552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Hazardous waste: transportation: manifests.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554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Public schools: adult school students: Advanced Scholastic and Vocational Training Program.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563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Community colleges: College and Career Access Pathways Grant Program.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561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California Consumer Privacy Act of 2018: consumer remedies.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592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State Board of Barbering and Cosmetology: licensee information.</w:t>
            </w:r>
          </w:p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/>
        </w:tc>
        <w:tc>
          <w:tcPr>
            <w:tcW w:w="1653" w:type="dxa"/>
          </w:tcPr>
          <w:p w:rsidR="00720884" w:rsidRDefault="00720884"/>
        </w:tc>
        <w:tc>
          <w:tcPr>
            <w:tcW w:w="7500" w:type="dxa"/>
          </w:tcPr>
          <w:p w:rsidR="00720884" w:rsidRDefault="00720884"/>
        </w:tc>
      </w:tr>
      <w:tr w:rsidR="00720884" w:rsidTr="00720884">
        <w:trPr>
          <w:cantSplit/>
          <w:tblCellSpacing w:w="20" w:type="dxa"/>
        </w:trPr>
        <w:tc>
          <w:tcPr>
            <w:tcW w:w="1127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SB 657</w:t>
            </w:r>
          </w:p>
        </w:tc>
        <w:tc>
          <w:tcPr>
            <w:tcW w:w="1653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7500" w:type="dxa"/>
          </w:tcPr>
          <w:p w:rsidR="00720884" w:rsidRDefault="00720884">
            <w:r>
              <w:rPr>
                <w:rFonts w:ascii="Arial" w:hAnsi="Arial"/>
                <w:color w:val="000000"/>
              </w:rPr>
              <w:t>Cannabis cultivation: county agricultural commissioners: reporting.</w:t>
            </w:r>
          </w:p>
        </w:tc>
      </w:tr>
    </w:tbl>
    <w:p w:rsidR="00E768B7" w:rsidRDefault="00E768B7"/>
    <w:p w:rsidR="004E2D4B" w:rsidRDefault="004E2D4B"/>
    <w:p w:rsidR="004E2D4B" w:rsidRDefault="004E2D4B">
      <w:bookmarkStart w:id="0" w:name="_GoBack"/>
      <w:bookmarkEnd w:id="0"/>
    </w:p>
    <w:p w:rsidR="0015531F" w:rsidRDefault="0015531F">
      <w:r>
        <w:t>(A=0, S=4</w:t>
      </w:r>
      <w:r w:rsidR="004E2D4B">
        <w:t>8</w:t>
      </w:r>
      <w:r>
        <w:t>)</w:t>
      </w:r>
    </w:p>
    <w:sectPr w:rsidR="0015531F" w:rsidSect="0049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9B" w:rsidRDefault="0015531F">
      <w:r>
        <w:separator/>
      </w:r>
    </w:p>
  </w:endnote>
  <w:endnote w:type="continuationSeparator" w:id="0">
    <w:p w:rsidR="0008729B" w:rsidRDefault="001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48" w:rsidRDefault="0049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21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884" w:rsidRDefault="00720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78C" w:rsidRDefault="006337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48" w:rsidRDefault="0049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9B" w:rsidRDefault="0015531F">
      <w:r>
        <w:separator/>
      </w:r>
    </w:p>
  </w:footnote>
  <w:footnote w:type="continuationSeparator" w:id="0">
    <w:p w:rsidR="0008729B" w:rsidRDefault="0015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48" w:rsidRDefault="0049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48" w:rsidRDefault="0049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48" w:rsidRDefault="00490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8729B"/>
    <w:rsid w:val="001158EF"/>
    <w:rsid w:val="0015531F"/>
    <w:rsid w:val="00490C48"/>
    <w:rsid w:val="004E2D4B"/>
    <w:rsid w:val="0063378C"/>
    <w:rsid w:val="00720884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64CD"/>
  <w15:docId w15:val="{2B2204A1-7F21-4EBD-B319-2298C5F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72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0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6</cp:revision>
  <cp:lastPrinted>2019-04-26T18:13:00Z</cp:lastPrinted>
  <dcterms:created xsi:type="dcterms:W3CDTF">2019-04-25T22:37:00Z</dcterms:created>
  <dcterms:modified xsi:type="dcterms:W3CDTF">2019-04-26T18:45:00Z</dcterms:modified>
</cp:coreProperties>
</file>