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8E0385" w:rsidRDefault="002A77B3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Durazo, Maria Elena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Hill, Jerry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385" w:rsidRDefault="002A77B3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385" w:rsidRDefault="002A77B3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8E0385" w:rsidRDefault="002A77B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8E0385" w:rsidRDefault="002A77B3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Itzel Vargas</w:t>
            </w:r>
            <w:r>
              <w:br/>
            </w:r>
          </w:p>
          <w:p w:rsidR="008E0385" w:rsidRDefault="002A77B3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 xml:space="preserve">State </w:t>
            </w:r>
            <w:r>
              <w:rPr>
                <w:rFonts w:ascii="Arial" w:hAnsi="Arial"/>
                <w:b/>
                <w:color w:val="0056A5"/>
                <w:sz w:val="15"/>
              </w:rPr>
              <w:t>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8E0385" w:rsidRDefault="002A77B3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January 21, 2020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12 p.m. -- John L. Burton Hearing Room (4203)</w:t>
            </w:r>
          </w:p>
          <w:p w:rsidR="008E0385" w:rsidRDefault="008E0385">
            <w:pPr>
              <w:jc w:val="center"/>
            </w:pPr>
          </w:p>
        </w:tc>
      </w:tr>
    </w:tbl>
    <w:p w:rsidR="00015920" w:rsidRPr="00432AAD" w:rsidRDefault="00015920" w:rsidP="00015920"/>
    <w:p w:rsidR="008E0385" w:rsidRDefault="008E0385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8E0385">
        <w:trPr>
          <w:cantSplit/>
          <w:tblCellSpacing w:w="20" w:type="dxa"/>
        </w:trPr>
        <w:tc>
          <w:tcPr>
            <w:tcW w:w="14360" w:type="dxa"/>
          </w:tcPr>
          <w:p w:rsidR="008E0385" w:rsidRDefault="002A77B3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8E0385" w:rsidRDefault="008E0385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226"/>
        <w:gridCol w:w="1834"/>
        <w:gridCol w:w="7380"/>
      </w:tblGrid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SB 33</w:t>
            </w:r>
          </w:p>
        </w:tc>
        <w:tc>
          <w:tcPr>
            <w:tcW w:w="1794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320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Electronic benefits transfer system.</w:t>
            </w:r>
          </w:p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SB 692</w:t>
            </w:r>
          </w:p>
        </w:tc>
        <w:tc>
          <w:tcPr>
            <w:tcW w:w="1794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320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Cannabis: trade samples.</w:t>
            </w:r>
          </w:p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/>
        </w:tc>
        <w:tc>
          <w:tcPr>
            <w:tcW w:w="1794" w:type="dxa"/>
          </w:tcPr>
          <w:p w:rsidR="00C91C9D" w:rsidRDefault="00C91C9D"/>
        </w:tc>
        <w:tc>
          <w:tcPr>
            <w:tcW w:w="7320" w:type="dxa"/>
          </w:tcPr>
          <w:p w:rsidR="00C91C9D" w:rsidRDefault="00C91C9D"/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SB 45</w:t>
            </w:r>
          </w:p>
        </w:tc>
        <w:tc>
          <w:tcPr>
            <w:tcW w:w="1794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320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Wildfire Prevention, Safe Drinking Water, Drought Preparation, and Flood Protection Bond Act of 2020.(Urgency)</w:t>
            </w:r>
          </w:p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SB 757</w:t>
            </w:r>
          </w:p>
        </w:tc>
        <w:tc>
          <w:tcPr>
            <w:tcW w:w="1794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320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State highways: relinquishment.</w:t>
            </w:r>
          </w:p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/>
        </w:tc>
        <w:tc>
          <w:tcPr>
            <w:tcW w:w="1794" w:type="dxa"/>
          </w:tcPr>
          <w:p w:rsidR="00C91C9D" w:rsidRDefault="00C91C9D"/>
        </w:tc>
        <w:tc>
          <w:tcPr>
            <w:tcW w:w="7320" w:type="dxa"/>
          </w:tcPr>
          <w:p w:rsidR="00C91C9D" w:rsidRDefault="00C91C9D"/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Pr="002A77B3" w:rsidRDefault="00C91C9D">
            <w:r w:rsidRPr="002A77B3">
              <w:rPr>
                <w:rFonts w:ascii="Arial" w:hAnsi="Arial"/>
                <w:color w:val="000000"/>
              </w:rPr>
              <w:t>SB 281</w:t>
            </w:r>
          </w:p>
        </w:tc>
        <w:tc>
          <w:tcPr>
            <w:tcW w:w="1794" w:type="dxa"/>
          </w:tcPr>
          <w:p w:rsidR="00C91C9D" w:rsidRPr="002A77B3" w:rsidRDefault="00C91C9D">
            <w:r w:rsidRPr="002A77B3"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320" w:type="dxa"/>
          </w:tcPr>
          <w:p w:rsidR="00C91C9D" w:rsidRPr="002A77B3" w:rsidRDefault="00C91C9D">
            <w:r w:rsidRPr="002A77B3">
              <w:rPr>
                <w:rFonts w:ascii="Arial" w:hAnsi="Arial"/>
                <w:color w:val="000000"/>
              </w:rPr>
              <w:t>Agricultural District 1a: firearm and ammunition sales at the Cow Palace.</w:t>
            </w:r>
          </w:p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SB 378</w:t>
            </w:r>
          </w:p>
        </w:tc>
        <w:tc>
          <w:tcPr>
            <w:tcW w:w="1794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320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Electrical corporations: deenergization events: procedures: allocation of costs: reports.</w:t>
            </w:r>
          </w:p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/>
        </w:tc>
        <w:tc>
          <w:tcPr>
            <w:tcW w:w="1794" w:type="dxa"/>
          </w:tcPr>
          <w:p w:rsidR="00C91C9D" w:rsidRDefault="00C91C9D"/>
        </w:tc>
        <w:tc>
          <w:tcPr>
            <w:tcW w:w="7320" w:type="dxa"/>
          </w:tcPr>
          <w:p w:rsidR="00C91C9D" w:rsidRDefault="00C91C9D"/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SB 372</w:t>
            </w:r>
          </w:p>
        </w:tc>
        <w:tc>
          <w:tcPr>
            <w:tcW w:w="1794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Wieckowski</w:t>
            </w:r>
          </w:p>
        </w:tc>
        <w:tc>
          <w:tcPr>
            <w:tcW w:w="7320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Beverage Container Recycling Act of 2020.</w:t>
            </w:r>
          </w:p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/>
        </w:tc>
        <w:tc>
          <w:tcPr>
            <w:tcW w:w="1794" w:type="dxa"/>
          </w:tcPr>
          <w:p w:rsidR="00C91C9D" w:rsidRDefault="00C91C9D"/>
        </w:tc>
        <w:tc>
          <w:tcPr>
            <w:tcW w:w="7320" w:type="dxa"/>
          </w:tcPr>
          <w:p w:rsidR="00C91C9D" w:rsidRDefault="00C91C9D"/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SB 388</w:t>
            </w:r>
          </w:p>
        </w:tc>
        <w:tc>
          <w:tcPr>
            <w:tcW w:w="1794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Galgiani</w:t>
            </w:r>
          </w:p>
        </w:tc>
        <w:tc>
          <w:tcPr>
            <w:tcW w:w="7320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Missing persons: reports: local agencies.</w:t>
            </w:r>
          </w:p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/>
        </w:tc>
        <w:tc>
          <w:tcPr>
            <w:tcW w:w="1794" w:type="dxa"/>
          </w:tcPr>
          <w:p w:rsidR="00C91C9D" w:rsidRDefault="00C91C9D"/>
        </w:tc>
        <w:tc>
          <w:tcPr>
            <w:tcW w:w="7320" w:type="dxa"/>
          </w:tcPr>
          <w:p w:rsidR="00C91C9D" w:rsidRDefault="00C91C9D"/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Pr="002A77B3" w:rsidRDefault="00C91C9D">
            <w:r w:rsidRPr="002A77B3">
              <w:rPr>
                <w:rFonts w:ascii="Arial" w:hAnsi="Arial"/>
                <w:color w:val="000000"/>
              </w:rPr>
              <w:t>SB 417</w:t>
            </w:r>
          </w:p>
        </w:tc>
        <w:tc>
          <w:tcPr>
            <w:tcW w:w="1794" w:type="dxa"/>
          </w:tcPr>
          <w:p w:rsidR="00C91C9D" w:rsidRPr="002A77B3" w:rsidRDefault="00C91C9D">
            <w:r w:rsidRPr="002A77B3"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320" w:type="dxa"/>
          </w:tcPr>
          <w:p w:rsidR="00C91C9D" w:rsidRPr="002A77B3" w:rsidRDefault="00C91C9D">
            <w:r w:rsidRPr="002A77B3">
              <w:rPr>
                <w:rFonts w:ascii="Arial" w:hAnsi="Arial"/>
                <w:color w:val="000000"/>
              </w:rPr>
              <w:t>California Victim Compensation Board: claim.(Urgency)</w:t>
            </w:r>
          </w:p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/>
        </w:tc>
        <w:tc>
          <w:tcPr>
            <w:tcW w:w="1794" w:type="dxa"/>
          </w:tcPr>
          <w:p w:rsidR="00C91C9D" w:rsidRDefault="00C91C9D"/>
        </w:tc>
        <w:tc>
          <w:tcPr>
            <w:tcW w:w="7320" w:type="dxa"/>
          </w:tcPr>
          <w:p w:rsidR="00C91C9D" w:rsidRDefault="00C91C9D"/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SB 444</w:t>
            </w:r>
          </w:p>
        </w:tc>
        <w:tc>
          <w:tcPr>
            <w:tcW w:w="1794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Umberg</w:t>
            </w:r>
          </w:p>
        </w:tc>
        <w:tc>
          <w:tcPr>
            <w:tcW w:w="7320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University of California: Berkeley and Irvine law schools: Pro Se Indigent Litigant Pilot Project.</w:t>
            </w:r>
          </w:p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/>
        </w:tc>
        <w:tc>
          <w:tcPr>
            <w:tcW w:w="1794" w:type="dxa"/>
          </w:tcPr>
          <w:p w:rsidR="00C91C9D" w:rsidRDefault="00C91C9D"/>
        </w:tc>
        <w:tc>
          <w:tcPr>
            <w:tcW w:w="7320" w:type="dxa"/>
          </w:tcPr>
          <w:p w:rsidR="00C91C9D" w:rsidRDefault="00C91C9D"/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Pr="002A77B3" w:rsidRDefault="00C91C9D">
            <w:r w:rsidRPr="002A77B3">
              <w:rPr>
                <w:rFonts w:ascii="Arial" w:hAnsi="Arial"/>
                <w:color w:val="000000"/>
              </w:rPr>
              <w:t>SB 480</w:t>
            </w:r>
          </w:p>
        </w:tc>
        <w:tc>
          <w:tcPr>
            <w:tcW w:w="1794" w:type="dxa"/>
          </w:tcPr>
          <w:p w:rsidR="00C91C9D" w:rsidRPr="002A77B3" w:rsidRDefault="00C91C9D">
            <w:r w:rsidRPr="002A77B3"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7320" w:type="dxa"/>
          </w:tcPr>
          <w:p w:rsidR="00C91C9D" w:rsidRPr="002A77B3" w:rsidRDefault="00C91C9D">
            <w:r w:rsidRPr="002A77B3">
              <w:rPr>
                <w:rFonts w:ascii="Arial" w:hAnsi="Arial"/>
                <w:color w:val="000000"/>
              </w:rPr>
              <w:t>Radiologist Assistant Advisory Committee.</w:t>
            </w:r>
          </w:p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/>
        </w:tc>
        <w:tc>
          <w:tcPr>
            <w:tcW w:w="1794" w:type="dxa"/>
          </w:tcPr>
          <w:p w:rsidR="00C91C9D" w:rsidRDefault="00C91C9D"/>
        </w:tc>
        <w:tc>
          <w:tcPr>
            <w:tcW w:w="7320" w:type="dxa"/>
          </w:tcPr>
          <w:p w:rsidR="00C91C9D" w:rsidRDefault="00C91C9D"/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Pr="002A77B3" w:rsidRDefault="00C91C9D">
            <w:r w:rsidRPr="002A77B3">
              <w:rPr>
                <w:rFonts w:ascii="Arial" w:hAnsi="Arial"/>
              </w:rPr>
              <w:t>SB 587</w:t>
            </w:r>
          </w:p>
        </w:tc>
        <w:tc>
          <w:tcPr>
            <w:tcW w:w="1794" w:type="dxa"/>
          </w:tcPr>
          <w:p w:rsidR="00C91C9D" w:rsidRPr="002A77B3" w:rsidRDefault="00C91C9D">
            <w:r w:rsidRPr="002A77B3">
              <w:rPr>
                <w:rFonts w:ascii="Arial" w:hAnsi="Arial"/>
              </w:rPr>
              <w:t>Monning</w:t>
            </w:r>
          </w:p>
        </w:tc>
        <w:tc>
          <w:tcPr>
            <w:tcW w:w="7320" w:type="dxa"/>
          </w:tcPr>
          <w:p w:rsidR="00C91C9D" w:rsidRPr="002A77B3" w:rsidRDefault="00C91C9D">
            <w:r w:rsidRPr="002A77B3">
              <w:rPr>
                <w:rFonts w:ascii="Arial" w:hAnsi="Arial"/>
              </w:rPr>
              <w:t>California Sea Otter Voluntary Tax Contribution Fund.</w:t>
            </w:r>
          </w:p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/>
        </w:tc>
        <w:tc>
          <w:tcPr>
            <w:tcW w:w="1794" w:type="dxa"/>
          </w:tcPr>
          <w:p w:rsidR="00C91C9D" w:rsidRDefault="00C91C9D"/>
        </w:tc>
        <w:tc>
          <w:tcPr>
            <w:tcW w:w="7320" w:type="dxa"/>
          </w:tcPr>
          <w:p w:rsidR="00C91C9D" w:rsidRDefault="00C91C9D"/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SB 596</w:t>
            </w:r>
          </w:p>
        </w:tc>
        <w:tc>
          <w:tcPr>
            <w:tcW w:w="1794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320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In-home supportive services: additional higher energy allowance.</w:t>
            </w:r>
          </w:p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SB 739</w:t>
            </w:r>
          </w:p>
        </w:tc>
        <w:tc>
          <w:tcPr>
            <w:tcW w:w="1794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320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Fire prevention: defensible space and home hardening training.</w:t>
            </w:r>
          </w:p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/>
        </w:tc>
        <w:tc>
          <w:tcPr>
            <w:tcW w:w="1794" w:type="dxa"/>
          </w:tcPr>
          <w:p w:rsidR="00C91C9D" w:rsidRDefault="00C91C9D"/>
        </w:tc>
        <w:tc>
          <w:tcPr>
            <w:tcW w:w="7320" w:type="dxa"/>
          </w:tcPr>
          <w:p w:rsidR="00C91C9D" w:rsidRDefault="00C91C9D"/>
        </w:tc>
      </w:tr>
      <w:tr w:rsidR="00C91C9D" w:rsidTr="00C91C9D">
        <w:trPr>
          <w:cantSplit/>
          <w:tblCellSpacing w:w="20" w:type="dxa"/>
        </w:trPr>
        <w:tc>
          <w:tcPr>
            <w:tcW w:w="1166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SCR 69</w:t>
            </w:r>
          </w:p>
        </w:tc>
        <w:tc>
          <w:tcPr>
            <w:tcW w:w="1794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320" w:type="dxa"/>
          </w:tcPr>
          <w:p w:rsidR="00C91C9D" w:rsidRDefault="00C91C9D">
            <w:r>
              <w:rPr>
                <w:rFonts w:ascii="Arial" w:hAnsi="Arial"/>
                <w:color w:val="000000"/>
              </w:rPr>
              <w:t>Prisoners: wages.</w:t>
            </w:r>
          </w:p>
        </w:tc>
      </w:tr>
    </w:tbl>
    <w:p w:rsidR="00E768B7" w:rsidRDefault="00E768B7"/>
    <w:p w:rsidR="0081068B" w:rsidRDefault="0081068B"/>
    <w:p w:rsidR="002A77B3" w:rsidRDefault="002A77B3">
      <w:bookmarkStart w:id="0" w:name="_GoBack"/>
      <w:bookmarkEnd w:id="0"/>
    </w:p>
    <w:p w:rsidR="005620C0" w:rsidRDefault="005620C0">
      <w:r>
        <w:t>(A=0, S=15)</w:t>
      </w:r>
    </w:p>
    <w:sectPr w:rsidR="005620C0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77B3">
      <w:r>
        <w:separator/>
      </w:r>
    </w:p>
  </w:endnote>
  <w:endnote w:type="continuationSeparator" w:id="0">
    <w:p w:rsidR="00000000" w:rsidRDefault="002A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85" w:rsidRDefault="008E03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77B3">
      <w:r>
        <w:separator/>
      </w:r>
    </w:p>
  </w:footnote>
  <w:footnote w:type="continuationSeparator" w:id="0">
    <w:p w:rsidR="00000000" w:rsidRDefault="002A7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2A77B3"/>
    <w:rsid w:val="004B36A8"/>
    <w:rsid w:val="005620C0"/>
    <w:rsid w:val="0081068B"/>
    <w:rsid w:val="008E0385"/>
    <w:rsid w:val="00BA3DA0"/>
    <w:rsid w:val="00C51048"/>
    <w:rsid w:val="00C91C9D"/>
    <w:rsid w:val="00E037A4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5C3B"/>
  <w15:docId w15:val="{D4EFCD8D-EB36-4BC9-9DCF-9B64E11C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5</cp:revision>
  <cp:lastPrinted>2020-01-17T18:09:00Z</cp:lastPrinted>
  <dcterms:created xsi:type="dcterms:W3CDTF">2020-01-17T18:07:00Z</dcterms:created>
  <dcterms:modified xsi:type="dcterms:W3CDTF">2020-01-17T18:10:00Z</dcterms:modified>
</cp:coreProperties>
</file>