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FB" w:rsidRDefault="00BC11FB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C11FB" w:rsidRDefault="00BC11F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BC11FB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Act: projects funded by qualified opportunity zone funds or other public funds.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Nielsen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General plans: safety element: emergency evacuation routes.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155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Renewables Portfolio Standard Program: integrated resource plans.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Nielsen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facilities: emergency medical services.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Animal blood donors.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Animals: prohibition on use in circuses.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Safe parking programs.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Santa Clarita Valley Water Agency: board of directors.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Skinner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Cannabis: trade samples.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military: inspector general.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496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Moorlach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Financial abuse of elder or dependent adults.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Moorlach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Wildfires and forest fires: air emissions.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Jackson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Clinical trials.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Morrell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agencies: licenses: fee waiver.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Glazer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Act: court actions or proceedings: affordable housing projects.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Galgiani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Act: injunction: vegetation treatment projects.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 Diego-Coronado Bridge: physical suicide deterrent system.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672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Hill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regional housing need allocation: City of Brisbane.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676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Transportation electrification: electric vehicles: grid integration.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Retail food safety: </w:t>
            </w:r>
            <w:proofErr w:type="spellStart"/>
            <w:r>
              <w:rPr>
                <w:color w:val="000000"/>
              </w:rPr>
              <w:t>nonlatex</w:t>
            </w:r>
            <w:proofErr w:type="spellEnd"/>
            <w:r>
              <w:rPr>
                <w:color w:val="000000"/>
              </w:rPr>
              <w:t xml:space="preserve"> gloves.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Monning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Failure to pay wages: penalties. 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Firearms: prohibited persons.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Electricity: Independent System Operator.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service plans: exemptions from licensure.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Mitchell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Insurance: unclaimed life insurance.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SB 741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Galgiani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Change of gender.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California Environmental Quality Act: permanent supportive housing.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746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anticancer medical devices.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Portantino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Hospitals: seismic safety.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779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Natural Resources and Water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Water.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Governance and Finance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Government Omnibus Act of 2019.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Health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Medicare supplement benefit coverage.</w:t>
            </w:r>
          </w:p>
        </w:tc>
      </w:tr>
      <w:tr w:rsidR="00BC11FB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1FB" w:rsidRDefault="008F49AD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Alcoholic beverages: appeals: </w:t>
            </w:r>
            <w:proofErr w:type="gramStart"/>
            <w:r>
              <w:rPr>
                <w:color w:val="000000"/>
              </w:rPr>
              <w:t>decision:</w:t>
            </w:r>
            <w:proofErr w:type="gramEnd"/>
            <w:r>
              <w:rPr>
                <w:color w:val="000000"/>
              </w:rPr>
              <w:t xml:space="preserve"> tied-house restrictions.</w:t>
            </w:r>
          </w:p>
        </w:tc>
      </w:tr>
    </w:tbl>
    <w:p w:rsidR="00BC11FB" w:rsidRDefault="00BC11FB">
      <w:pPr>
        <w:rPr>
          <w:color w:val="000000"/>
        </w:rPr>
      </w:pPr>
    </w:p>
    <w:sectPr w:rsidR="00BC11FB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FB" w:rsidRDefault="008F49AD">
      <w:r>
        <w:separator/>
      </w:r>
    </w:p>
  </w:endnote>
  <w:endnote w:type="continuationSeparator" w:id="0">
    <w:p w:rsidR="00BC11FB" w:rsidRDefault="008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FB" w:rsidRDefault="008F49AD">
    <w:pPr>
      <w:jc w:val="right"/>
      <w:rPr>
        <w:color w:val="000000"/>
      </w:rPr>
    </w:pPr>
    <w:r>
      <w:rPr>
        <w:color w:val="000000"/>
      </w:rPr>
      <w:t>May 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FB" w:rsidRDefault="008F49AD">
      <w:r>
        <w:separator/>
      </w:r>
    </w:p>
  </w:footnote>
  <w:footnote w:type="continuationSeparator" w:id="0">
    <w:p w:rsidR="00BC11FB" w:rsidRDefault="008F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FB" w:rsidRDefault="008F49AD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BC11FB" w:rsidRDefault="008F49AD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BC11FB" w:rsidRDefault="008F49AD">
    <w:pPr>
      <w:spacing w:before="120"/>
      <w:jc w:val="center"/>
      <w:rPr>
        <w:color w:val="000000"/>
      </w:rPr>
    </w:pPr>
    <w:r>
      <w:rPr>
        <w:color w:val="000000"/>
      </w:rPr>
      <w:t>Monday, May 13,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AD"/>
    <w:rsid w:val="001D5A90"/>
    <w:rsid w:val="008F49AD"/>
    <w:rsid w:val="00B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FBA326-E957-416C-9BBA-FBCCCBB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2019-05-09T20:57:00Z</dcterms:created>
  <dcterms:modified xsi:type="dcterms:W3CDTF">2019-05-09T20:57:00Z</dcterms:modified>
</cp:coreProperties>
</file>